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5584F" w14:textId="77777777" w:rsidR="003D586D" w:rsidRPr="003D586D" w:rsidRDefault="00AC6D35" w:rsidP="00A844F4">
      <w:pPr>
        <w:pStyle w:val="NoSpacing"/>
        <w:jc w:val="center"/>
        <w:rPr>
          <w:rFonts w:ascii="Arial" w:hAnsi="Arial" w:cs="Arial"/>
          <w:sz w:val="20"/>
          <w:szCs w:val="20"/>
        </w:rPr>
      </w:pPr>
      <w:r>
        <w:rPr>
          <w:rFonts w:ascii="Arial" w:hAnsi="Arial" w:cs="Arial"/>
          <w:sz w:val="20"/>
          <w:szCs w:val="20"/>
        </w:rPr>
        <w:t>__</w:t>
      </w:r>
      <w:r w:rsidR="003D586D" w:rsidRPr="003D586D">
        <w:rPr>
          <w:rFonts w:ascii="Arial" w:hAnsi="Arial" w:cs="Arial"/>
          <w:sz w:val="20"/>
          <w:szCs w:val="20"/>
        </w:rPr>
        <w:t>_______ COUNTY</w:t>
      </w:r>
    </w:p>
    <w:p w14:paraId="457995A8" w14:textId="77777777" w:rsidR="00601B69" w:rsidRPr="003D586D" w:rsidRDefault="007D7D6E" w:rsidP="00BF6034">
      <w:pPr>
        <w:pStyle w:val="NoSpacing"/>
        <w:contextualSpacing/>
        <w:jc w:val="center"/>
        <w:rPr>
          <w:rFonts w:ascii="Arial" w:hAnsi="Arial" w:cs="Arial"/>
          <w:sz w:val="20"/>
          <w:szCs w:val="20"/>
        </w:rPr>
      </w:pPr>
      <w:r w:rsidRPr="003D586D">
        <w:rPr>
          <w:rFonts w:ascii="Arial" w:hAnsi="Arial" w:cs="Arial"/>
          <w:sz w:val="20"/>
          <w:szCs w:val="20"/>
        </w:rPr>
        <w:t>NOTES TO</w:t>
      </w:r>
      <w:r>
        <w:rPr>
          <w:rFonts w:ascii="Arial" w:hAnsi="Arial" w:cs="Arial"/>
          <w:sz w:val="20"/>
          <w:szCs w:val="20"/>
        </w:rPr>
        <w:t xml:space="preserve"> THE</w:t>
      </w:r>
      <w:r w:rsidRPr="003D586D">
        <w:rPr>
          <w:rFonts w:ascii="Arial" w:hAnsi="Arial" w:cs="Arial"/>
          <w:sz w:val="20"/>
          <w:szCs w:val="20"/>
        </w:rPr>
        <w:t xml:space="preserve"> SUPPLEMENTARY INFORMATION</w:t>
      </w:r>
    </w:p>
    <w:p w14:paraId="646F2865" w14:textId="77777777" w:rsidR="008A5B6E" w:rsidRPr="003D586D" w:rsidRDefault="0001780D" w:rsidP="00BF6034">
      <w:pPr>
        <w:pStyle w:val="NoSpacing"/>
        <w:contextualSpacing/>
        <w:jc w:val="center"/>
        <w:rPr>
          <w:rFonts w:ascii="Arial" w:hAnsi="Arial" w:cs="Arial"/>
          <w:b/>
          <w:sz w:val="20"/>
          <w:szCs w:val="20"/>
        </w:rPr>
      </w:pPr>
      <w:r w:rsidRPr="003D586D">
        <w:rPr>
          <w:rFonts w:ascii="Arial" w:hAnsi="Arial" w:cs="Arial"/>
          <w:sz w:val="20"/>
          <w:szCs w:val="20"/>
        </w:rPr>
        <w:t>Schedule of the Proportionate Share of the Net Pension Liability</w:t>
      </w:r>
      <w:r w:rsidR="00B52C62" w:rsidRPr="003D586D">
        <w:rPr>
          <w:rFonts w:ascii="Arial" w:hAnsi="Arial" w:cs="Arial"/>
          <w:sz w:val="20"/>
          <w:szCs w:val="20"/>
        </w:rPr>
        <w:t xml:space="preserve"> (Asset)</w:t>
      </w:r>
      <w:r w:rsidRPr="003D586D">
        <w:rPr>
          <w:rFonts w:ascii="Arial" w:hAnsi="Arial" w:cs="Arial"/>
          <w:sz w:val="20"/>
          <w:szCs w:val="20"/>
        </w:rPr>
        <w:t xml:space="preserve"> </w:t>
      </w:r>
    </w:p>
    <w:p w14:paraId="176D86C8" w14:textId="77777777" w:rsidR="0001780D" w:rsidRPr="003D586D" w:rsidRDefault="0001780D" w:rsidP="00BF6034">
      <w:pPr>
        <w:pStyle w:val="NoSpacing"/>
        <w:contextualSpacing/>
        <w:jc w:val="center"/>
        <w:rPr>
          <w:rFonts w:ascii="Arial" w:hAnsi="Arial" w:cs="Arial"/>
          <w:b/>
          <w:sz w:val="20"/>
          <w:szCs w:val="20"/>
        </w:rPr>
      </w:pPr>
    </w:p>
    <w:p w14:paraId="2CA83E88" w14:textId="471DF212" w:rsidR="00FE11D6" w:rsidRDefault="00FE11D6" w:rsidP="00BF6034">
      <w:pPr>
        <w:spacing w:after="0" w:line="240" w:lineRule="auto"/>
        <w:contextualSpacing/>
        <w:rPr>
          <w:rFonts w:ascii="Arial" w:hAnsi="Arial" w:cs="Arial"/>
          <w:b/>
          <w:sz w:val="20"/>
          <w:szCs w:val="20"/>
          <w:u w:val="single"/>
        </w:rPr>
      </w:pPr>
      <w:bookmarkStart w:id="0" w:name="_GoBack"/>
      <w:bookmarkEnd w:id="0"/>
    </w:p>
    <w:p w14:paraId="62DC722E" w14:textId="77777777" w:rsidR="00FE11D6" w:rsidRDefault="00FE11D6" w:rsidP="00BF6034">
      <w:pPr>
        <w:spacing w:after="0" w:line="240" w:lineRule="auto"/>
        <w:contextualSpacing/>
        <w:rPr>
          <w:rFonts w:ascii="Arial" w:hAnsi="Arial" w:cs="Arial"/>
          <w:b/>
          <w:sz w:val="20"/>
          <w:szCs w:val="20"/>
          <w:u w:val="single"/>
        </w:rPr>
      </w:pPr>
    </w:p>
    <w:p w14:paraId="33C40135" w14:textId="72A1A52B" w:rsidR="00FE11D6" w:rsidRDefault="00FE11D6" w:rsidP="00FE11D6">
      <w:pPr>
        <w:pStyle w:val="Default"/>
        <w:rPr>
          <w:rFonts w:ascii="Arial" w:hAnsi="Arial" w:cs="Arial"/>
          <w:b/>
          <w:bCs/>
          <w:sz w:val="20"/>
          <w:szCs w:val="20"/>
          <w:u w:val="single"/>
        </w:rPr>
      </w:pPr>
      <w:r w:rsidRPr="00FE11D6">
        <w:rPr>
          <w:rFonts w:ascii="Arial" w:hAnsi="Arial" w:cs="Arial"/>
          <w:b/>
          <w:bCs/>
          <w:sz w:val="20"/>
          <w:szCs w:val="20"/>
          <w:u w:val="single"/>
        </w:rPr>
        <w:t xml:space="preserve">Changes from Prior Valuation </w:t>
      </w:r>
    </w:p>
    <w:p w14:paraId="3E4A61DA" w14:textId="77777777" w:rsidR="00FE11D6" w:rsidRPr="00FE11D6" w:rsidRDefault="00FE11D6" w:rsidP="00FE11D6">
      <w:pPr>
        <w:pStyle w:val="Default"/>
        <w:rPr>
          <w:rFonts w:ascii="Arial" w:hAnsi="Arial" w:cs="Arial"/>
          <w:sz w:val="20"/>
          <w:szCs w:val="20"/>
          <w:u w:val="single"/>
        </w:rPr>
      </w:pPr>
    </w:p>
    <w:p w14:paraId="4746AF4C" w14:textId="77777777" w:rsidR="00FE11D6" w:rsidRDefault="00FE11D6" w:rsidP="00FE11D6">
      <w:pPr>
        <w:pStyle w:val="Default"/>
        <w:rPr>
          <w:rFonts w:ascii="Arial" w:hAnsi="Arial" w:cs="Arial"/>
          <w:sz w:val="20"/>
          <w:szCs w:val="20"/>
        </w:rPr>
      </w:pPr>
      <w:r w:rsidRPr="00FE11D6">
        <w:rPr>
          <w:rFonts w:ascii="Arial" w:hAnsi="Arial" w:cs="Arial"/>
          <w:sz w:val="20"/>
          <w:szCs w:val="20"/>
        </w:rPr>
        <w:t xml:space="preserve">The June 30, 2020 Actuarial Valuation reflects no changes in actuarial methods from the June 30, 2019 Actuarial Valuation. One change in actuarial assumptions and two plan provision changes are reflected and described below. </w:t>
      </w:r>
    </w:p>
    <w:p w14:paraId="45671E06" w14:textId="77777777" w:rsidR="00FE11D6" w:rsidRDefault="00FE11D6" w:rsidP="00FE11D6">
      <w:pPr>
        <w:pStyle w:val="Default"/>
        <w:rPr>
          <w:rFonts w:ascii="Arial" w:hAnsi="Arial" w:cs="Arial"/>
          <w:sz w:val="20"/>
          <w:szCs w:val="20"/>
        </w:rPr>
      </w:pPr>
    </w:p>
    <w:p w14:paraId="58AAF091" w14:textId="7DBFE2A7"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The details of the changes since the last valuation are as follows: </w:t>
      </w:r>
    </w:p>
    <w:p w14:paraId="30DBC441" w14:textId="77777777" w:rsidR="00FE11D6" w:rsidRPr="00FE11D6" w:rsidRDefault="00FE11D6" w:rsidP="00FE11D6">
      <w:pPr>
        <w:pStyle w:val="Default"/>
        <w:rPr>
          <w:rFonts w:ascii="Arial" w:hAnsi="Arial" w:cs="Arial"/>
          <w:b/>
          <w:bCs/>
          <w:color w:val="auto"/>
          <w:sz w:val="20"/>
          <w:szCs w:val="20"/>
        </w:rPr>
      </w:pPr>
    </w:p>
    <w:p w14:paraId="7A04BE09" w14:textId="1800F040" w:rsidR="00FE11D6" w:rsidRPr="00FE11D6" w:rsidRDefault="00FE11D6" w:rsidP="00FE11D6">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Benefit Provision Changes </w:t>
      </w:r>
    </w:p>
    <w:p w14:paraId="22FB69F7" w14:textId="77777777" w:rsidR="00FE11D6" w:rsidRPr="00FE11D6" w:rsidRDefault="00FE11D6" w:rsidP="00FE11D6">
      <w:pPr>
        <w:pStyle w:val="Default"/>
        <w:rPr>
          <w:rFonts w:ascii="Arial" w:hAnsi="Arial" w:cs="Arial"/>
          <w:color w:val="auto"/>
          <w:sz w:val="20"/>
          <w:szCs w:val="20"/>
        </w:rPr>
      </w:pPr>
    </w:p>
    <w:p w14:paraId="221CE49A" w14:textId="77777777"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established a Qualified Benefit Preservation Arrangement (QBPA) under Section 415(m) of the Internal Revenue Code (IRC). The QBPA is effective July 1, 2020 and pays a portion of SDRS benefits that are restricted by IRC Section 415(b). The total benefits paid from SDRS and the QBPA will be limited to the applicable 415(b) annual limit, unreduced for early commencement if Members retire prior to age 62 and actuarially increased for late retirement up to age 70 if Members retire after age 65. The Actuarial Valuation considers benefits payable from both SDRS and the QBPA. </w:t>
      </w:r>
    </w:p>
    <w:p w14:paraId="22D100F1" w14:textId="77777777" w:rsidR="00FE11D6" w:rsidRDefault="00FE11D6" w:rsidP="00FE11D6">
      <w:pPr>
        <w:pStyle w:val="Default"/>
        <w:rPr>
          <w:rFonts w:ascii="Arial" w:hAnsi="Arial" w:cs="Arial"/>
          <w:color w:val="auto"/>
          <w:sz w:val="20"/>
          <w:szCs w:val="20"/>
        </w:rPr>
      </w:pPr>
    </w:p>
    <w:p w14:paraId="497AA071" w14:textId="488EA15B"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also brought the assets and the liabilities of the South Dakota Department of Labor and Regulation Plan into SDRS effective July 1, 2020. With the exception of the accounting results presented in Section 6 of this report, all exhibits include the assets, liabilities, and member counts of the former Department of Labor and Regulation Plan Members. </w:t>
      </w:r>
    </w:p>
    <w:p w14:paraId="0069E73F" w14:textId="77777777" w:rsidR="00FE11D6" w:rsidRPr="00FE11D6" w:rsidRDefault="00FE11D6" w:rsidP="00FE11D6">
      <w:pPr>
        <w:pStyle w:val="Default"/>
        <w:rPr>
          <w:rFonts w:ascii="Arial" w:hAnsi="Arial" w:cs="Arial"/>
          <w:b/>
          <w:bCs/>
          <w:color w:val="auto"/>
          <w:sz w:val="20"/>
          <w:szCs w:val="20"/>
        </w:rPr>
      </w:pPr>
    </w:p>
    <w:p w14:paraId="79D90758" w14:textId="72DCC9B2" w:rsidR="00FE11D6" w:rsidRPr="00FE11D6" w:rsidRDefault="00FE11D6" w:rsidP="00FE11D6">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Assumption Changes </w:t>
      </w:r>
    </w:p>
    <w:p w14:paraId="15FBA24D" w14:textId="77777777" w:rsidR="00FE11D6" w:rsidRPr="00FE11D6" w:rsidRDefault="00FE11D6" w:rsidP="00FE11D6">
      <w:pPr>
        <w:pStyle w:val="Default"/>
        <w:rPr>
          <w:rFonts w:ascii="Arial" w:hAnsi="Arial" w:cs="Arial"/>
          <w:color w:val="auto"/>
          <w:sz w:val="20"/>
          <w:szCs w:val="20"/>
        </w:rPr>
      </w:pPr>
    </w:p>
    <w:p w14:paraId="718E120D" w14:textId="77777777"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The SDRS COLA equals the percentage increase in the most recent third calendar quarter CPI-W over the prior year, no less than 0.5% and no greater than 3.5%. However, if the FVFR assuming the long-term COLA is equal to the baseline COLA assumption (currently 2.25%) is less than 100%, the maximum COLA payable will be limited to the increase that if assumed on a long-term basis, results in a FVFR equal to or exceeding 100%. That condition existed as of June 30, 2019 and exists again this year as of June 30, 2020. Future COLAs are assumed to equal the current restricted maximum COLA which was 1.88% as of June 30, 2019 and is 1.41% as of June 30, 2020. </w:t>
      </w:r>
    </w:p>
    <w:p w14:paraId="77ABD64E" w14:textId="77777777" w:rsidR="00FE11D6" w:rsidRDefault="00FE11D6" w:rsidP="00FE11D6">
      <w:pPr>
        <w:pStyle w:val="Default"/>
        <w:rPr>
          <w:rFonts w:ascii="Arial" w:hAnsi="Arial" w:cs="Arial"/>
          <w:color w:val="auto"/>
          <w:sz w:val="20"/>
          <w:szCs w:val="20"/>
        </w:rPr>
      </w:pPr>
    </w:p>
    <w:p w14:paraId="725771C2" w14:textId="7548748A"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The changes in actuarial assumptions due to the 1.41% restricted maximum COLA decreased the Actuarial Accrued Liability by $595 million, or 4.6% of the Actuarial Accrued Liability based on the 1.88% restricted maximum COLA. </w:t>
      </w:r>
    </w:p>
    <w:p w14:paraId="16C41CAE" w14:textId="77777777" w:rsidR="00FE11D6" w:rsidRDefault="00FE11D6" w:rsidP="00FE11D6">
      <w:pPr>
        <w:pStyle w:val="Default"/>
        <w:rPr>
          <w:rFonts w:ascii="Arial" w:hAnsi="Arial" w:cs="Arial"/>
          <w:color w:val="auto"/>
          <w:sz w:val="20"/>
          <w:szCs w:val="20"/>
        </w:rPr>
      </w:pPr>
    </w:p>
    <w:p w14:paraId="1FB41531" w14:textId="16495810" w:rsidR="00FE11D6" w:rsidRPr="00FE11D6" w:rsidRDefault="00FE11D6" w:rsidP="00FE11D6">
      <w:pPr>
        <w:pStyle w:val="Default"/>
        <w:rPr>
          <w:rFonts w:ascii="Arial" w:hAnsi="Arial" w:cs="Arial"/>
          <w:color w:val="auto"/>
          <w:sz w:val="20"/>
          <w:szCs w:val="20"/>
        </w:rPr>
      </w:pPr>
      <w:r w:rsidRPr="00FE11D6">
        <w:rPr>
          <w:rFonts w:ascii="Arial" w:hAnsi="Arial" w:cs="Arial"/>
          <w:color w:val="auto"/>
          <w:sz w:val="20"/>
          <w:szCs w:val="20"/>
        </w:rPr>
        <w:t xml:space="preserve">Actuarial assumptions are reviewed in depth periodically, with the next experience analysis anticipated before the June 30, 2022 Actuarial Valuation and any recommended changes anticipated to be first implemented in the June 30, 2022 Actuarial Valuation. </w:t>
      </w:r>
    </w:p>
    <w:p w14:paraId="5A9DBA10" w14:textId="77777777" w:rsidR="00FE11D6" w:rsidRPr="00FE11D6" w:rsidRDefault="00FE11D6" w:rsidP="00FE11D6">
      <w:pPr>
        <w:pStyle w:val="Default"/>
        <w:rPr>
          <w:rFonts w:ascii="Arial" w:hAnsi="Arial" w:cs="Arial"/>
          <w:b/>
          <w:bCs/>
          <w:color w:val="auto"/>
          <w:sz w:val="20"/>
          <w:szCs w:val="20"/>
        </w:rPr>
      </w:pPr>
    </w:p>
    <w:p w14:paraId="6FF7D9AB" w14:textId="12914B65" w:rsidR="00FE11D6" w:rsidRPr="00FE11D6" w:rsidRDefault="00FE11D6" w:rsidP="00FE11D6">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Method Changes </w:t>
      </w:r>
    </w:p>
    <w:p w14:paraId="6456E97E" w14:textId="77777777" w:rsidR="00FE11D6" w:rsidRDefault="00FE11D6" w:rsidP="00FE11D6">
      <w:pPr>
        <w:pStyle w:val="NoSpacing"/>
      </w:pPr>
    </w:p>
    <w:p w14:paraId="7B37B65E" w14:textId="6B061B6C" w:rsidR="00FE11D6" w:rsidRPr="00FE11D6" w:rsidRDefault="00FE11D6" w:rsidP="00FE11D6">
      <w:pPr>
        <w:rPr>
          <w:rFonts w:ascii="Arial" w:hAnsi="Arial" w:cs="Arial"/>
          <w:sz w:val="20"/>
          <w:szCs w:val="20"/>
        </w:rPr>
      </w:pPr>
      <w:r w:rsidRPr="00FE11D6">
        <w:rPr>
          <w:rFonts w:ascii="Arial" w:hAnsi="Arial" w:cs="Arial"/>
          <w:sz w:val="20"/>
          <w:szCs w:val="20"/>
        </w:rPr>
        <w:t>No changes in actuarial methods were made since the prior valuation.</w:t>
      </w:r>
    </w:p>
    <w:p w14:paraId="10616826" w14:textId="77777777" w:rsidR="006608E8" w:rsidRPr="003D586D" w:rsidRDefault="006608E8" w:rsidP="006608E8">
      <w:pPr>
        <w:pStyle w:val="NoSpacing"/>
        <w:rPr>
          <w:rFonts w:ascii="Arial" w:hAnsi="Arial" w:cs="Arial"/>
          <w:b/>
          <w:sz w:val="20"/>
          <w:szCs w:val="20"/>
        </w:rPr>
      </w:pPr>
      <w:r w:rsidRPr="003D586D">
        <w:rPr>
          <w:rFonts w:ascii="Arial" w:hAnsi="Arial" w:cs="Arial"/>
          <w:b/>
          <w:sz w:val="20"/>
          <w:szCs w:val="20"/>
        </w:rPr>
        <w:t>(NOTE: As required by paragraph 82 of Statement 68, information about factors that significantly affect trends i</w:t>
      </w:r>
      <w:r w:rsidR="00A844F4" w:rsidRPr="003D586D">
        <w:rPr>
          <w:rFonts w:ascii="Arial" w:hAnsi="Arial" w:cs="Arial"/>
          <w:b/>
          <w:sz w:val="20"/>
          <w:szCs w:val="20"/>
        </w:rPr>
        <w:t xml:space="preserve">n the amounts report in the </w:t>
      </w:r>
      <w:r w:rsidRPr="003D586D">
        <w:rPr>
          <w:rFonts w:ascii="Arial" w:hAnsi="Arial" w:cs="Arial"/>
          <w:b/>
          <w:sz w:val="20"/>
          <w:szCs w:val="20"/>
        </w:rPr>
        <w:t xml:space="preserve">schedules (required by paragraph 81)(for example, changes of benefit terms, changes in the size or composition of the population covered by the benefit terms, or the use of different assumptions) should be presented as notes to the schedules. </w:t>
      </w:r>
    </w:p>
    <w:p w14:paraId="03E52F4F" w14:textId="77777777" w:rsidR="006608E8" w:rsidRPr="003D586D" w:rsidRDefault="006608E8" w:rsidP="006608E8">
      <w:pPr>
        <w:pStyle w:val="NoSpacing"/>
        <w:rPr>
          <w:rFonts w:ascii="Arial" w:hAnsi="Arial" w:cs="Arial"/>
          <w:b/>
          <w:sz w:val="20"/>
          <w:szCs w:val="20"/>
        </w:rPr>
      </w:pPr>
    </w:p>
    <w:p w14:paraId="006BD37C" w14:textId="7C8D01E5" w:rsidR="006608E8" w:rsidRPr="003D586D" w:rsidRDefault="006608E8" w:rsidP="006608E8">
      <w:pPr>
        <w:pStyle w:val="NoSpacing"/>
        <w:rPr>
          <w:rFonts w:ascii="Arial" w:hAnsi="Arial" w:cs="Arial"/>
          <w:b/>
          <w:sz w:val="20"/>
          <w:szCs w:val="20"/>
        </w:rPr>
      </w:pPr>
      <w:r w:rsidRPr="003D586D">
        <w:rPr>
          <w:rFonts w:ascii="Arial" w:hAnsi="Arial" w:cs="Arial"/>
          <w:b/>
          <w:sz w:val="20"/>
          <w:szCs w:val="20"/>
        </w:rPr>
        <w:lastRenderedPageBreak/>
        <w:t>(NOTE: The amounts presented for prior years should not be restated for the effects of changes—for example, changes of benefit terms or changes of assumption—that occurred subsequent to the measurement date of that information)</w:t>
      </w:r>
    </w:p>
    <w:sectPr w:rsidR="006608E8" w:rsidRPr="003D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8E8"/>
    <w:rsid w:val="000054C1"/>
    <w:rsid w:val="0001780D"/>
    <w:rsid w:val="0023626C"/>
    <w:rsid w:val="0030459C"/>
    <w:rsid w:val="003051F2"/>
    <w:rsid w:val="003D586D"/>
    <w:rsid w:val="00515666"/>
    <w:rsid w:val="00601B69"/>
    <w:rsid w:val="006608E8"/>
    <w:rsid w:val="007D7D6E"/>
    <w:rsid w:val="008A5B6E"/>
    <w:rsid w:val="008B5678"/>
    <w:rsid w:val="00966BF7"/>
    <w:rsid w:val="00A844F4"/>
    <w:rsid w:val="00AC6D35"/>
    <w:rsid w:val="00B52C62"/>
    <w:rsid w:val="00B833A2"/>
    <w:rsid w:val="00BF6034"/>
    <w:rsid w:val="00D02A5A"/>
    <w:rsid w:val="00D82A25"/>
    <w:rsid w:val="00E37E36"/>
    <w:rsid w:val="00FE1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0CF22"/>
  <w15:docId w15:val="{CCD9831B-EC68-482D-AACB-63F19CF3D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8E8"/>
    <w:pPr>
      <w:spacing w:after="0" w:line="240" w:lineRule="auto"/>
    </w:pPr>
  </w:style>
  <w:style w:type="paragraph" w:customStyle="1" w:styleId="Default">
    <w:name w:val="Default"/>
    <w:rsid w:val="00AC6D3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Fortin, Rod</dc:creator>
  <cp:lastModifiedBy>Fortin, Rod</cp:lastModifiedBy>
  <cp:revision>10</cp:revision>
  <dcterms:created xsi:type="dcterms:W3CDTF">2018-01-02T22:27:00Z</dcterms:created>
  <dcterms:modified xsi:type="dcterms:W3CDTF">2021-01-04T14:41:00Z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DLA Canned Report Draft</vt:lpwstr>
  </property>
  <property fmtid="{D5CDD505-2E9C-101B-9397-08002B2CF9AE}" pid="4" name="tabIndex">
    <vt:lpwstr>1200</vt:lpwstr>
  </property>
  <property fmtid="{D5CDD505-2E9C-101B-9397-08002B2CF9AE}" pid="5" name="workpaperIndex">
    <vt:lpwstr>1200.07</vt:lpwstr>
  </property>
</Properties>
</file>